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7F68" w14:textId="70076B16" w:rsidR="00285A6B" w:rsidRPr="007E2ED1" w:rsidRDefault="00285A6B" w:rsidP="00285A6B">
      <w:pPr>
        <w:widowControl/>
        <w:rPr>
          <w:rFonts w:ascii="宋体" w:eastAsia="宋体" w:hAnsi="宋体" w:cs="Times New Roman"/>
          <w:b/>
          <w:kern w:val="0"/>
          <w:sz w:val="28"/>
          <w:szCs w:val="28"/>
        </w:rPr>
      </w:pPr>
      <w:bookmarkStart w:id="0" w:name="_Hlk23695978"/>
      <w:r w:rsidRPr="007E2ED1">
        <w:rPr>
          <w:rFonts w:ascii="宋体" w:eastAsia="宋体" w:hAnsi="宋体" w:cs="Times New Roman" w:hint="eastAsia"/>
          <w:b/>
          <w:kern w:val="0"/>
          <w:sz w:val="28"/>
          <w:szCs w:val="28"/>
        </w:rPr>
        <w:t>附件</w:t>
      </w:r>
      <w:r w:rsidRPr="007E2ED1">
        <w:rPr>
          <w:rFonts w:ascii="宋体" w:eastAsia="宋体" w:hAnsi="宋体" w:cs="Times New Roman"/>
          <w:b/>
          <w:kern w:val="0"/>
          <w:sz w:val="28"/>
          <w:szCs w:val="28"/>
        </w:rPr>
        <w:t>2</w:t>
      </w:r>
    </w:p>
    <w:p w14:paraId="0C9A4509" w14:textId="77777777" w:rsidR="00105FCF" w:rsidRDefault="00105FCF" w:rsidP="00105FCF">
      <w:pPr>
        <w:jc w:val="center"/>
        <w:rPr>
          <w:rFonts w:ascii="方正小标宋简体" w:eastAsia="方正小标宋简体" w:hAnsi="Calibri"/>
          <w:sz w:val="44"/>
          <w:szCs w:val="44"/>
        </w:rPr>
      </w:pPr>
      <w:r w:rsidRPr="00ED62B0">
        <w:rPr>
          <w:rFonts w:ascii="方正小标宋简体" w:eastAsia="方正小标宋简体" w:hAnsi="Calibri" w:hint="eastAsia"/>
          <w:sz w:val="44"/>
          <w:szCs w:val="44"/>
        </w:rPr>
        <w:t>山东农业工程学院关于规范课程考核</w:t>
      </w:r>
    </w:p>
    <w:p w14:paraId="321D8F44" w14:textId="7C921E1D" w:rsidR="00105FCF" w:rsidRPr="007246E7" w:rsidRDefault="00105FCF" w:rsidP="00105FCF">
      <w:pPr>
        <w:spacing w:afterLines="50" w:after="158"/>
        <w:jc w:val="center"/>
        <w:rPr>
          <w:rFonts w:ascii="仿宋_GB2312" w:eastAsia="仿宋_GB2312" w:hAnsi="宋体" w:cs="宋体"/>
          <w:kern w:val="0"/>
          <w:sz w:val="32"/>
          <w:szCs w:val="32"/>
        </w:rPr>
      </w:pPr>
      <w:r w:rsidRPr="00ED62B0">
        <w:rPr>
          <w:rFonts w:ascii="方正小标宋简体" w:eastAsia="方正小标宋简体" w:hAnsi="Calibri" w:hint="eastAsia"/>
          <w:sz w:val="44"/>
          <w:szCs w:val="44"/>
        </w:rPr>
        <w:t>命题的规定</w:t>
      </w:r>
    </w:p>
    <w:p w14:paraId="330E00C4"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课程考核是整个教学过程的重要环节，是考核学生知识、能力与素质、评定学生学习成绩、检查和评价教师教学效果和教学质量的重要手段。为保证人才培养的规格和质量，强化学生能力培养，实现从知识考核为主向能力考核为主转变，现就我学校课程考核命题工作做以下规定。</w:t>
      </w:r>
    </w:p>
    <w:p w14:paraId="3B40299C" w14:textId="77777777" w:rsidR="00105FCF" w:rsidRPr="00105FCF" w:rsidRDefault="00105FCF" w:rsidP="00A93D5A">
      <w:pPr>
        <w:ind w:firstLineChars="200" w:firstLine="640"/>
        <w:rPr>
          <w:rFonts w:ascii="黑体" w:eastAsia="黑体"/>
          <w:sz w:val="32"/>
          <w:szCs w:val="32"/>
        </w:rPr>
      </w:pPr>
      <w:r w:rsidRPr="00105FCF">
        <w:rPr>
          <w:rFonts w:ascii="黑体" w:eastAsia="黑体" w:hint="eastAsia"/>
          <w:sz w:val="32"/>
          <w:szCs w:val="32"/>
        </w:rPr>
        <w:t>一、命题基本原则</w:t>
      </w:r>
    </w:p>
    <w:p w14:paraId="27890750"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（一）命题内容科学 </w:t>
      </w:r>
    </w:p>
    <w:p w14:paraId="4EEA4009"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 xml:space="preserve">命题内容应以课程教学大纲为基础，围绕基础知识、基本理论和基本技能，注重提高学生综合分析问题、解决问题的能力，创新意识和创新能力，命题内容科学合理。 </w:t>
      </w:r>
    </w:p>
    <w:p w14:paraId="0BA7670C"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（二）命题涵盖范围广 </w:t>
      </w:r>
    </w:p>
    <w:p w14:paraId="3028FFAB"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 xml:space="preserve">命题范围应涵盖课程教学大纲要求掌握的所有内容，试题要有较高的效度、信度，有合理的难度和区分度，认知层次比例方面分配合理，能使考试成绩趋向正态分布。 </w:t>
      </w:r>
    </w:p>
    <w:p w14:paraId="2FE50176"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（三）命题结构合理 </w:t>
      </w:r>
    </w:p>
    <w:p w14:paraId="7F75EA80"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命题结构应涵盖基础部分（基础知识、基本理论、基本技能）、运用部分、综合和提高（扩展）部分，且都符合一</w:t>
      </w:r>
      <w:r w:rsidRPr="00105FCF">
        <w:rPr>
          <w:rFonts w:ascii="仿宋_GB2312" w:eastAsia="仿宋_GB2312" w:hAnsi="宋体" w:cs="宋体" w:hint="eastAsia"/>
          <w:kern w:val="0"/>
          <w:sz w:val="32"/>
          <w:szCs w:val="32"/>
        </w:rPr>
        <w:lastRenderedPageBreak/>
        <w:t>定的比例。凡已建立试题库的课程，经教研室审核，学院批准后，须使用试题库命题。</w:t>
      </w:r>
    </w:p>
    <w:p w14:paraId="69B21A26" w14:textId="77777777" w:rsidR="00105FCF" w:rsidRPr="00105FCF" w:rsidRDefault="00105FCF" w:rsidP="00A93D5A">
      <w:pPr>
        <w:ind w:firstLineChars="200" w:firstLine="640"/>
        <w:rPr>
          <w:rFonts w:ascii="黑体" w:eastAsia="黑体"/>
          <w:sz w:val="32"/>
          <w:szCs w:val="32"/>
        </w:rPr>
      </w:pPr>
      <w:r w:rsidRPr="00105FCF">
        <w:rPr>
          <w:rFonts w:ascii="黑体" w:eastAsia="黑体" w:hint="eastAsia"/>
          <w:sz w:val="32"/>
          <w:szCs w:val="32"/>
        </w:rPr>
        <w:t>二、试题命制及审核</w:t>
      </w:r>
    </w:p>
    <w:p w14:paraId="70A20223"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（一）命题人员 </w:t>
      </w:r>
    </w:p>
    <w:p w14:paraId="1238ECDB"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命题人员应精通本学科专业知识，熟悉本学科教学大纲和教学要求，以教学大纲为依据进行试题命制。同一课程（课程代码相同）应在教研室主任领导下，由相应命题小组集体命题，统一考试，统一评分标准。</w:t>
      </w:r>
    </w:p>
    <w:p w14:paraId="2CE35604" w14:textId="77777777" w:rsidR="00105FCF" w:rsidRPr="00105FCF" w:rsidRDefault="00105FCF" w:rsidP="00A93D5A">
      <w:pPr>
        <w:ind w:firstLineChars="200" w:firstLine="640"/>
        <w:rPr>
          <w:rFonts w:ascii="仿宋_GB2312" w:eastAsia="仿宋_GB2312" w:hAnsi="宋体" w:cs="宋体"/>
          <w:kern w:val="0"/>
          <w:sz w:val="32"/>
          <w:szCs w:val="32"/>
          <w:highlight w:val="yellow"/>
        </w:rPr>
      </w:pPr>
      <w:r w:rsidRPr="00105FCF">
        <w:rPr>
          <w:rFonts w:ascii="楷体" w:eastAsia="楷体" w:hAnsi="楷体" w:hint="eastAsia"/>
          <w:sz w:val="32"/>
          <w:szCs w:val="32"/>
        </w:rPr>
        <w:t>（二）题库建设</w:t>
      </w:r>
    </w:p>
    <w:p w14:paraId="2867A3BB"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题库是学校重要的教学资源之一，对于提高命题工作的效率和质量有重要意义。各学院应积极组织题库建设，并利用学校各种在线教学平台为学生提供日常学习检测或各类考试、考查服务。</w:t>
      </w:r>
    </w:p>
    <w:p w14:paraId="2B011354"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（三）命题时间 </w:t>
      </w:r>
    </w:p>
    <w:p w14:paraId="634F418C"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期末考试的试题命制开始时间一般为</w:t>
      </w:r>
      <w:proofErr w:type="gramStart"/>
      <w:r w:rsidRPr="00105FCF">
        <w:rPr>
          <w:rFonts w:ascii="仿宋_GB2312" w:eastAsia="仿宋_GB2312" w:hAnsi="宋体" w:cs="宋体" w:hint="eastAsia"/>
          <w:kern w:val="0"/>
          <w:sz w:val="32"/>
          <w:szCs w:val="32"/>
        </w:rPr>
        <w:t>课程结课前三周</w:t>
      </w:r>
      <w:proofErr w:type="gramEnd"/>
      <w:r w:rsidRPr="00105FCF">
        <w:rPr>
          <w:rFonts w:ascii="仿宋_GB2312" w:eastAsia="仿宋_GB2312" w:hAnsi="宋体" w:cs="宋体" w:hint="eastAsia"/>
          <w:kern w:val="0"/>
          <w:sz w:val="32"/>
          <w:szCs w:val="32"/>
        </w:rPr>
        <w:t xml:space="preserve">。命题时间一般为一周。 </w:t>
      </w:r>
    </w:p>
    <w:p w14:paraId="7292955D"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（四）命题审核 </w:t>
      </w:r>
    </w:p>
    <w:p w14:paraId="7C78F423"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命题人完成命题后，应事先进行试题试做，进一步检查试题内容的准确性、合理性，确保试题容量符合命题要求。核实无误后需经课程负责人、课程归属教研室主任、院长（分管教学副院长）进行审核，对试题的科学性、合理性进行充分论证，并填写《山东农业工程学院课程考核命题审核表》。</w:t>
      </w:r>
    </w:p>
    <w:p w14:paraId="473ADD86"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lastRenderedPageBreak/>
        <w:t xml:space="preserve">（五）试题提交 </w:t>
      </w:r>
    </w:p>
    <w:p w14:paraId="38512C6E"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试题经教研室主任及教学副院长审核通过后，各二级学院需在一周内将期末试题及评分标准纸质版（用档案袋密封）和电子版（PDF格式）连同院部签字盖章的《山东农业工程学院课程考核命题审核表》一并交教务处，供教务处进行期末试题的抽取及试卷打印工作。</w:t>
      </w:r>
    </w:p>
    <w:p w14:paraId="1D224E22"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采取非试卷形式进行考核的，开课教师将《山东农业工程学院课程非试卷形式考核审批表》报课程归属教研室主任、院长（分管教学副院长）审核，经教务处同意后组织实施。</w:t>
      </w:r>
    </w:p>
    <w:p w14:paraId="481C1D7B"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（六）试题保密</w:t>
      </w:r>
    </w:p>
    <w:p w14:paraId="79A3DB2F"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命题人、审核人、保管人等所有试题经手人均负有保密义务并承担保密责任，一旦出现试题泄露，将根据事实、情节、影响按规定严肃追究责任。</w:t>
      </w:r>
    </w:p>
    <w:p w14:paraId="1E1CA2AC" w14:textId="77777777" w:rsidR="00105FCF" w:rsidRPr="00105FCF" w:rsidRDefault="00105FCF" w:rsidP="00A93D5A">
      <w:pPr>
        <w:ind w:firstLineChars="200" w:firstLine="640"/>
        <w:rPr>
          <w:rFonts w:ascii="黑体" w:eastAsia="黑体"/>
          <w:sz w:val="32"/>
          <w:szCs w:val="32"/>
        </w:rPr>
      </w:pPr>
      <w:r w:rsidRPr="00105FCF">
        <w:rPr>
          <w:rFonts w:ascii="黑体" w:eastAsia="黑体" w:hint="eastAsia"/>
          <w:sz w:val="32"/>
          <w:szCs w:val="32"/>
        </w:rPr>
        <w:t>三、命题基本要求</w:t>
      </w:r>
    </w:p>
    <w:p w14:paraId="4B99590E"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（一）考核类型</w:t>
      </w:r>
    </w:p>
    <w:p w14:paraId="54FA4D3E"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在专业人才培养方案中规定开出的课程及实验(实训)、实习、毕业论文(设计)等实践性教学环节,均需按规定进行考核,不得随意更改考核类型。试卷考核类型一般分为考试和考查两种。</w:t>
      </w:r>
    </w:p>
    <w:p w14:paraId="21723797"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（二）考核方式</w:t>
      </w:r>
    </w:p>
    <w:p w14:paraId="35CB5D32"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课程考核可采用闭卷、开卷及非试卷形式考核（短文写作、课程论文、调研报告、口试、上机操作、实验测试、实</w:t>
      </w:r>
      <w:r w:rsidRPr="00105FCF">
        <w:rPr>
          <w:rFonts w:ascii="仿宋_GB2312" w:eastAsia="仿宋_GB2312" w:hAnsi="宋体" w:cs="宋体" w:hint="eastAsia"/>
          <w:kern w:val="0"/>
          <w:sz w:val="32"/>
          <w:szCs w:val="32"/>
        </w:rPr>
        <w:lastRenderedPageBreak/>
        <w:t>践操作、产品制作、作品设计等)或几种方式相结合的考核方式。顶岗实习和毕业设计可以采取实习报告、毕业设计、毕业答辩等考核方式。</w:t>
      </w:r>
    </w:p>
    <w:p w14:paraId="55C309A0"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鼓励任课教师根据课程的特点和要求，</w:t>
      </w:r>
      <w:r w:rsidRPr="00105FCF">
        <w:rPr>
          <w:rFonts w:ascii="仿宋_GB2312" w:eastAsia="仿宋_GB2312" w:hAnsi="仿宋_GB2312" w:hint="eastAsia"/>
          <w:sz w:val="32"/>
          <w:szCs w:val="32"/>
        </w:rPr>
        <w:t>改革课程考核方式，突出过程性考核，探索“非标准答案”考核。任课教师（教研室）可利用学校各种在线教学平台为学生提供日常学习检测或各类考试、考查服务。</w:t>
      </w:r>
    </w:p>
    <w:p w14:paraId="36551D63"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（三）试题数量 </w:t>
      </w:r>
    </w:p>
    <w:p w14:paraId="7A5525C5" w14:textId="47571FA3"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每门课程的期末考试必须同时准备题量、题型、难易度、效度、信度、区分度大致相当的两套试题（A 卷和 B 卷），并制定《山东农业工程学院课程考核命题计划》。每套试题之间原题重复率不超过10%，且与上一届试题重复率不超过</w:t>
      </w:r>
      <w:r w:rsidRPr="00105FCF">
        <w:rPr>
          <w:rFonts w:ascii="仿宋_GB2312" w:eastAsia="仿宋_GB2312" w:hAnsi="宋体" w:cs="宋体"/>
          <w:kern w:val="0"/>
          <w:sz w:val="32"/>
          <w:szCs w:val="32"/>
        </w:rPr>
        <w:t>1</w:t>
      </w:r>
      <w:r w:rsidRPr="00105FCF">
        <w:rPr>
          <w:rFonts w:ascii="仿宋_GB2312" w:eastAsia="仿宋_GB2312" w:hAnsi="宋体" w:cs="宋体" w:hint="eastAsia"/>
          <w:kern w:val="0"/>
          <w:sz w:val="32"/>
          <w:szCs w:val="32"/>
        </w:rPr>
        <w:t>0%。</w:t>
      </w:r>
    </w:p>
    <w:p w14:paraId="2F96E95C"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（四）试题容量 </w:t>
      </w:r>
    </w:p>
    <w:p w14:paraId="4B832C63"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试题应以中等水平的学生在规定时间内完成答卷为标准。考试时间不得低于90分钟。如果由于特殊原因需要增加时间以及调整卷面总分，教研室须书面提出申请并说明理由，院部审核同意后报学校教务处批准，并在试卷上明确标注和向学生说明。</w:t>
      </w:r>
    </w:p>
    <w:p w14:paraId="024AB420"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（五）题型设置</w:t>
      </w:r>
    </w:p>
    <w:p w14:paraId="06ECE128"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1.闭卷笔试题型选择应力求多样化，可采取填空、选择、辨析题、计算题、问答题、案例题、材料分析题、论述题等</w:t>
      </w:r>
      <w:r w:rsidRPr="00105FCF">
        <w:rPr>
          <w:rFonts w:ascii="仿宋_GB2312" w:eastAsia="仿宋_GB2312" w:hAnsi="宋体" w:cs="宋体" w:hint="eastAsia"/>
          <w:kern w:val="0"/>
          <w:sz w:val="32"/>
          <w:szCs w:val="32"/>
        </w:rPr>
        <w:lastRenderedPageBreak/>
        <w:t>多种类型。对于实践性、操作性、应用性较强的课程，考试命题中应充分体现本课程的性质和特点，其考试不但要考查学生对基本知识的掌握，更重要的是考查学生的能力，包括实践能力、创新能力、综合应用知识的能力、用所学知识解决实际问题的能力和协作能力等。不同课程可结合本门课程特点并参考行业职业资格考试发展趋势选择合适的题型，但每套试题题型原则上应不少于5种。</w:t>
      </w:r>
    </w:p>
    <w:p w14:paraId="4886717B"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 xml:space="preserve">2.实行开卷笔试考查的课程，应结合课程教学目标，注重考查学生对相关知识的提炼概括、整体把握及综合应用能力。题型可从辨析题、计算题、问答题、案例题、材料分析题、论述题等几种类型中选择，每套试题题型应不少于3种。试题答案不能含有可从教材或其它允许携带的资料上直接抄录的内容。 </w:t>
      </w:r>
    </w:p>
    <w:p w14:paraId="68BC641F"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3.口试命题注重考查学生系统掌握本门课程知识基础上的逻辑思维能力、应变能力及语言表达能力。口试命题数量不少于考生数的1/2，并能覆盖课程教学大纲的主要教学内容，</w:t>
      </w:r>
      <w:proofErr w:type="gramStart"/>
      <w:r w:rsidRPr="00105FCF">
        <w:rPr>
          <w:rFonts w:ascii="仿宋_GB2312" w:eastAsia="仿宋_GB2312" w:hAnsi="宋体" w:cs="宋体" w:hint="eastAsia"/>
          <w:kern w:val="0"/>
          <w:sz w:val="32"/>
          <w:szCs w:val="32"/>
        </w:rPr>
        <w:t>单题分量</w:t>
      </w:r>
      <w:proofErr w:type="gramEnd"/>
      <w:r w:rsidRPr="00105FCF">
        <w:rPr>
          <w:rFonts w:ascii="仿宋_GB2312" w:eastAsia="仿宋_GB2312" w:hAnsi="宋体" w:cs="宋体" w:hint="eastAsia"/>
          <w:kern w:val="0"/>
          <w:sz w:val="32"/>
          <w:szCs w:val="32"/>
        </w:rPr>
        <w:t>及难易程度应力求均衡，避免重复。</w:t>
      </w:r>
    </w:p>
    <w:p w14:paraId="1E59F220"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4.实行提交论文、设计或作品形式的课程考查，可采用统一命题、统一选题或任意选题等形式进行。统一命题即统一命制一定数量的题目，要求学生进行所有题目的撰写；统一选题即统一命制一定数量的题目，要求学生在提供的题目范围内选题进行撰写；任意选题即学生任意选择与该课程内</w:t>
      </w:r>
      <w:r w:rsidRPr="00105FCF">
        <w:rPr>
          <w:rFonts w:ascii="仿宋_GB2312" w:eastAsia="仿宋_GB2312" w:hAnsi="宋体" w:cs="宋体" w:hint="eastAsia"/>
          <w:kern w:val="0"/>
          <w:sz w:val="32"/>
          <w:szCs w:val="32"/>
        </w:rPr>
        <w:lastRenderedPageBreak/>
        <w:t>容相关的题目进行撰写。采用任</w:t>
      </w:r>
      <w:proofErr w:type="gramStart"/>
      <w:r w:rsidRPr="00105FCF">
        <w:rPr>
          <w:rFonts w:ascii="仿宋_GB2312" w:eastAsia="仿宋_GB2312" w:hAnsi="宋体" w:cs="宋体" w:hint="eastAsia"/>
          <w:kern w:val="0"/>
          <w:sz w:val="32"/>
          <w:szCs w:val="32"/>
        </w:rPr>
        <w:t>一</w:t>
      </w:r>
      <w:proofErr w:type="gramEnd"/>
      <w:r w:rsidRPr="00105FCF">
        <w:rPr>
          <w:rFonts w:ascii="仿宋_GB2312" w:eastAsia="仿宋_GB2312" w:hAnsi="宋体" w:cs="宋体" w:hint="eastAsia"/>
          <w:kern w:val="0"/>
          <w:sz w:val="32"/>
          <w:szCs w:val="32"/>
        </w:rPr>
        <w:t>形式命题，其题目均须符合本课程教学基本要求，提交的论文、设计或作品内容必须与该课程内容相关，有利于学生应用所学知识进行能力训练。</w:t>
      </w:r>
    </w:p>
    <w:p w14:paraId="7BAA6893"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（六）分值设置</w:t>
      </w:r>
    </w:p>
    <w:p w14:paraId="537ABD06"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试题</w:t>
      </w:r>
      <w:proofErr w:type="gramStart"/>
      <w:r w:rsidRPr="00105FCF">
        <w:rPr>
          <w:rFonts w:ascii="仿宋_GB2312" w:eastAsia="仿宋_GB2312" w:hAnsi="宋体" w:cs="宋体" w:hint="eastAsia"/>
          <w:kern w:val="0"/>
          <w:sz w:val="32"/>
          <w:szCs w:val="32"/>
        </w:rPr>
        <w:t>卷面总分值</w:t>
      </w:r>
      <w:proofErr w:type="gramEnd"/>
      <w:r w:rsidRPr="00105FCF">
        <w:rPr>
          <w:rFonts w:ascii="仿宋_GB2312" w:eastAsia="仿宋_GB2312" w:hAnsi="宋体" w:cs="宋体" w:hint="eastAsia"/>
          <w:kern w:val="0"/>
          <w:sz w:val="32"/>
          <w:szCs w:val="32"/>
        </w:rPr>
        <w:t>为100分，试题编制要综合考虑试题的总体难度、题量大小，做到难易适度、题量适当，覆盖面广，重点突出。试题的难度指标为较易、中等、较难三个层次，</w:t>
      </w:r>
      <w:proofErr w:type="gramStart"/>
      <w:r w:rsidRPr="00105FCF">
        <w:rPr>
          <w:rFonts w:ascii="仿宋_GB2312" w:eastAsia="仿宋_GB2312" w:hAnsi="宋体" w:cs="宋体" w:hint="eastAsia"/>
          <w:kern w:val="0"/>
          <w:sz w:val="32"/>
          <w:szCs w:val="32"/>
        </w:rPr>
        <w:t>分值比重</w:t>
      </w:r>
      <w:proofErr w:type="gramEnd"/>
      <w:r w:rsidRPr="00105FCF">
        <w:rPr>
          <w:rFonts w:ascii="仿宋_GB2312" w:eastAsia="仿宋_GB2312" w:hAnsi="宋体" w:cs="宋体" w:hint="eastAsia"/>
          <w:kern w:val="0"/>
          <w:sz w:val="32"/>
          <w:szCs w:val="32"/>
        </w:rPr>
        <w:t>大致为30：50：20。</w:t>
      </w:r>
    </w:p>
    <w:p w14:paraId="26B25F21"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（七）命题格式</w:t>
      </w:r>
    </w:p>
    <w:p w14:paraId="07525AFD" w14:textId="528CCD07" w:rsidR="00105FCF" w:rsidRPr="00105FCF" w:rsidRDefault="00105FCF" w:rsidP="00105FCF">
      <w:pPr>
        <w:ind w:firstLineChars="200" w:firstLine="640"/>
        <w:rPr>
          <w:rFonts w:ascii="仿宋_GB2312" w:eastAsia="仿宋_GB2312" w:hAnsi="宋体"/>
          <w:kern w:val="0"/>
          <w:sz w:val="32"/>
          <w:szCs w:val="32"/>
        </w:rPr>
      </w:pPr>
      <w:r w:rsidRPr="00105FCF">
        <w:rPr>
          <w:rFonts w:ascii="仿宋_GB2312" w:eastAsia="仿宋_GB2312" w:hAnsi="宋体" w:cs="宋体" w:hint="eastAsia"/>
          <w:kern w:val="0"/>
          <w:sz w:val="32"/>
          <w:szCs w:val="32"/>
        </w:rPr>
        <w:t>试题命</w:t>
      </w:r>
      <w:proofErr w:type="gramStart"/>
      <w:r w:rsidRPr="00105FCF">
        <w:rPr>
          <w:rFonts w:ascii="仿宋_GB2312" w:eastAsia="仿宋_GB2312" w:hAnsi="宋体" w:cs="宋体" w:hint="eastAsia"/>
          <w:kern w:val="0"/>
          <w:sz w:val="32"/>
          <w:szCs w:val="32"/>
        </w:rPr>
        <w:t>制采取</w:t>
      </w:r>
      <w:proofErr w:type="gramEnd"/>
      <w:r w:rsidRPr="00105FCF">
        <w:rPr>
          <w:rFonts w:ascii="仿宋_GB2312" w:eastAsia="仿宋_GB2312" w:hAnsi="宋体" w:cs="宋体" w:hint="eastAsia"/>
          <w:kern w:val="0"/>
          <w:sz w:val="32"/>
          <w:szCs w:val="32"/>
        </w:rPr>
        <w:t>试卷与答题纸分离的方式。试题及评分标准命制格式须按教务处制定的《山东农业工程学院试题模版》和《山东农业工程答案及评分标准模板》进行。关于参考答案，要确保客观性试题答案准确无误，主观性试题参考答案要给出评分要点和评分标准。</w:t>
      </w:r>
    </w:p>
    <w:p w14:paraId="7D794558" w14:textId="77777777" w:rsidR="00105FCF" w:rsidRPr="00105FCF" w:rsidRDefault="00105FCF" w:rsidP="00A93D5A">
      <w:pPr>
        <w:ind w:firstLineChars="200" w:firstLine="640"/>
        <w:jc w:val="right"/>
        <w:rPr>
          <w:rFonts w:ascii="仿宋_GB2312" w:eastAsia="仿宋_GB2312" w:hAnsi="宋体" w:cs="宋体"/>
          <w:kern w:val="0"/>
          <w:sz w:val="32"/>
          <w:szCs w:val="32"/>
        </w:rPr>
      </w:pPr>
      <w:r w:rsidRPr="00105FCF">
        <w:rPr>
          <w:rFonts w:ascii="宋体" w:eastAsia="仿宋_GB2312" w:hAnsi="宋体" w:hint="eastAsia"/>
          <w:kern w:val="0"/>
          <w:sz w:val="32"/>
          <w:szCs w:val="32"/>
        </w:rPr>
        <w:t>  </w:t>
      </w:r>
    </w:p>
    <w:p w14:paraId="6E373257" w14:textId="7909D9E2" w:rsidR="00EC6F8A" w:rsidRPr="00EC6F8A" w:rsidRDefault="00105FCF" w:rsidP="009F218B">
      <w:pPr>
        <w:ind w:firstLine="200"/>
        <w:jc w:val="right"/>
        <w:rPr>
          <w:rFonts w:ascii="Calibri" w:eastAsia="宋体" w:hAnsi="Calibri" w:cs="Times New Roman"/>
        </w:rPr>
      </w:pPr>
      <w:r w:rsidRPr="00105FCF">
        <w:rPr>
          <w:rFonts w:ascii="宋体" w:eastAsia="仿宋_GB2312" w:hAnsi="宋体" w:cs="宋体" w:hint="eastAsia"/>
          <w:kern w:val="0"/>
          <w:sz w:val="32"/>
          <w:szCs w:val="32"/>
        </w:rPr>
        <w:t> </w:t>
      </w:r>
      <w:r w:rsidRPr="00105FCF">
        <w:rPr>
          <w:rFonts w:ascii="仿宋_GB2312" w:eastAsia="仿宋_GB2312" w:hAnsi="宋体" w:cs="宋体" w:hint="eastAsia"/>
          <w:kern w:val="0"/>
          <w:sz w:val="32"/>
          <w:szCs w:val="32"/>
        </w:rPr>
        <w:t>2</w:t>
      </w:r>
      <w:r w:rsidRPr="00105FCF">
        <w:rPr>
          <w:rFonts w:ascii="仿宋_GB2312" w:eastAsia="仿宋_GB2312" w:hAnsi="宋体" w:cs="宋体"/>
          <w:kern w:val="0"/>
          <w:sz w:val="32"/>
          <w:szCs w:val="32"/>
        </w:rPr>
        <w:t>019</w:t>
      </w:r>
      <w:r w:rsidRPr="00105FCF">
        <w:rPr>
          <w:rFonts w:ascii="仿宋_GB2312" w:eastAsia="仿宋_GB2312" w:hAnsi="宋体" w:cs="仿宋_GB2312" w:hint="eastAsia"/>
          <w:kern w:val="0"/>
          <w:sz w:val="32"/>
          <w:szCs w:val="32"/>
        </w:rPr>
        <w:t>年1</w:t>
      </w:r>
      <w:r w:rsidRPr="00105FCF">
        <w:rPr>
          <w:rFonts w:ascii="仿宋_GB2312" w:eastAsia="仿宋_GB2312" w:hAnsi="宋体" w:cs="仿宋_GB2312"/>
          <w:kern w:val="0"/>
          <w:sz w:val="32"/>
          <w:szCs w:val="32"/>
        </w:rPr>
        <w:t>1</w:t>
      </w:r>
      <w:r w:rsidRPr="00105FCF">
        <w:rPr>
          <w:rFonts w:ascii="仿宋_GB2312" w:eastAsia="仿宋_GB2312" w:hAnsi="宋体" w:cs="仿宋_GB2312" w:hint="eastAsia"/>
          <w:kern w:val="0"/>
          <w:sz w:val="32"/>
          <w:szCs w:val="32"/>
        </w:rPr>
        <w:t>月11日</w:t>
      </w:r>
      <w:bookmarkStart w:id="1" w:name="_GoBack"/>
      <w:bookmarkEnd w:id="0"/>
      <w:bookmarkEnd w:id="1"/>
    </w:p>
    <w:sectPr w:rsidR="00EC6F8A" w:rsidRPr="00EC6F8A" w:rsidSect="009F218B">
      <w:headerReference w:type="default" r:id="rId7"/>
      <w:pgSz w:w="11906" w:h="16838" w:code="9"/>
      <w:pgMar w:top="1440" w:right="1797" w:bottom="1440" w:left="179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98448" w14:textId="77777777" w:rsidR="0020632C" w:rsidRDefault="0020632C">
      <w:r>
        <w:separator/>
      </w:r>
    </w:p>
  </w:endnote>
  <w:endnote w:type="continuationSeparator" w:id="0">
    <w:p w14:paraId="219710DD" w14:textId="77777777" w:rsidR="0020632C" w:rsidRDefault="0020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9FC7" w14:textId="77777777" w:rsidR="0020632C" w:rsidRDefault="0020632C">
      <w:r>
        <w:separator/>
      </w:r>
    </w:p>
  </w:footnote>
  <w:footnote w:type="continuationSeparator" w:id="0">
    <w:p w14:paraId="00A66051" w14:textId="77777777" w:rsidR="0020632C" w:rsidRDefault="0020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24FA" w14:textId="77777777" w:rsidR="00A915F2" w:rsidRDefault="00A915F2" w:rsidP="00CD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08"/>
    <w:rsid w:val="00043038"/>
    <w:rsid w:val="00047908"/>
    <w:rsid w:val="000933F6"/>
    <w:rsid w:val="000C37A6"/>
    <w:rsid w:val="000E6D20"/>
    <w:rsid w:val="00105FCF"/>
    <w:rsid w:val="00107238"/>
    <w:rsid w:val="001337F1"/>
    <w:rsid w:val="00166C1F"/>
    <w:rsid w:val="00166FCE"/>
    <w:rsid w:val="0020632C"/>
    <w:rsid w:val="00206CC1"/>
    <w:rsid w:val="00247C36"/>
    <w:rsid w:val="002670BF"/>
    <w:rsid w:val="00274400"/>
    <w:rsid w:val="00276106"/>
    <w:rsid w:val="00285A6B"/>
    <w:rsid w:val="002A0B93"/>
    <w:rsid w:val="002B6A79"/>
    <w:rsid w:val="0033517D"/>
    <w:rsid w:val="003577A4"/>
    <w:rsid w:val="0037694B"/>
    <w:rsid w:val="003D193D"/>
    <w:rsid w:val="003E159E"/>
    <w:rsid w:val="003F1C97"/>
    <w:rsid w:val="004216DC"/>
    <w:rsid w:val="004248ED"/>
    <w:rsid w:val="0043212C"/>
    <w:rsid w:val="00440164"/>
    <w:rsid w:val="00451BFC"/>
    <w:rsid w:val="0046296D"/>
    <w:rsid w:val="004A7207"/>
    <w:rsid w:val="004C4530"/>
    <w:rsid w:val="004D18EE"/>
    <w:rsid w:val="004D22EA"/>
    <w:rsid w:val="004E4C9C"/>
    <w:rsid w:val="00501C91"/>
    <w:rsid w:val="005618B0"/>
    <w:rsid w:val="005B161D"/>
    <w:rsid w:val="005D0368"/>
    <w:rsid w:val="00666CE9"/>
    <w:rsid w:val="00667AAE"/>
    <w:rsid w:val="0069315E"/>
    <w:rsid w:val="0069670B"/>
    <w:rsid w:val="006F57C3"/>
    <w:rsid w:val="00720D56"/>
    <w:rsid w:val="00725ABA"/>
    <w:rsid w:val="00753654"/>
    <w:rsid w:val="00764869"/>
    <w:rsid w:val="00767D51"/>
    <w:rsid w:val="007D38AE"/>
    <w:rsid w:val="007D6BE5"/>
    <w:rsid w:val="007E2ED1"/>
    <w:rsid w:val="007F3632"/>
    <w:rsid w:val="0083084D"/>
    <w:rsid w:val="00857477"/>
    <w:rsid w:val="00896121"/>
    <w:rsid w:val="008B4F17"/>
    <w:rsid w:val="008D2D20"/>
    <w:rsid w:val="008E156E"/>
    <w:rsid w:val="008F30CB"/>
    <w:rsid w:val="009069ED"/>
    <w:rsid w:val="00907410"/>
    <w:rsid w:val="00912653"/>
    <w:rsid w:val="009B4DB8"/>
    <w:rsid w:val="009F218B"/>
    <w:rsid w:val="00A00A60"/>
    <w:rsid w:val="00A17EDC"/>
    <w:rsid w:val="00A42771"/>
    <w:rsid w:val="00A80E60"/>
    <w:rsid w:val="00A915F2"/>
    <w:rsid w:val="00A93D5A"/>
    <w:rsid w:val="00AD1EAC"/>
    <w:rsid w:val="00AE61F6"/>
    <w:rsid w:val="00AF6F11"/>
    <w:rsid w:val="00B050B3"/>
    <w:rsid w:val="00B14657"/>
    <w:rsid w:val="00B25E11"/>
    <w:rsid w:val="00B32455"/>
    <w:rsid w:val="00B40705"/>
    <w:rsid w:val="00BC060A"/>
    <w:rsid w:val="00C70DB3"/>
    <w:rsid w:val="00CB4507"/>
    <w:rsid w:val="00CD5526"/>
    <w:rsid w:val="00D94E7D"/>
    <w:rsid w:val="00DD4699"/>
    <w:rsid w:val="00E2464C"/>
    <w:rsid w:val="00E90A8E"/>
    <w:rsid w:val="00EA40EE"/>
    <w:rsid w:val="00EA57FE"/>
    <w:rsid w:val="00EB4F8C"/>
    <w:rsid w:val="00EC6F8A"/>
    <w:rsid w:val="00ED1FFE"/>
    <w:rsid w:val="00F23E63"/>
    <w:rsid w:val="00F4418C"/>
    <w:rsid w:val="00F56275"/>
    <w:rsid w:val="00F63088"/>
    <w:rsid w:val="00F6664A"/>
    <w:rsid w:val="00F743D5"/>
    <w:rsid w:val="00F8000C"/>
    <w:rsid w:val="00F9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D043"/>
  <w15:docId w15:val="{8CF9D9D2-AF00-4539-8DBB-F406D511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8EE"/>
    <w:pPr>
      <w:tabs>
        <w:tab w:val="center" w:pos="4153"/>
        <w:tab w:val="right" w:pos="8306"/>
      </w:tabs>
      <w:snapToGrid w:val="0"/>
      <w:ind w:firstLineChars="200" w:firstLine="200"/>
      <w:jc w:val="center"/>
    </w:pPr>
    <w:rPr>
      <w:rFonts w:ascii="仿宋_GB2312" w:eastAsia="仿宋_GB2312" w:hAnsi="仿宋_GB2312"/>
      <w:sz w:val="18"/>
      <w:szCs w:val="18"/>
    </w:rPr>
  </w:style>
  <w:style w:type="character" w:customStyle="1" w:styleId="a4">
    <w:name w:val="页眉 字符"/>
    <w:basedOn w:val="a0"/>
    <w:link w:val="a3"/>
    <w:uiPriority w:val="99"/>
    <w:rsid w:val="004D18EE"/>
    <w:rPr>
      <w:rFonts w:ascii="仿宋_GB2312" w:eastAsia="仿宋_GB2312" w:hAnsi="仿宋_GB2312"/>
      <w:sz w:val="18"/>
      <w:szCs w:val="18"/>
    </w:rPr>
  </w:style>
  <w:style w:type="paragraph" w:styleId="a5">
    <w:name w:val="footer"/>
    <w:basedOn w:val="a"/>
    <w:link w:val="a6"/>
    <w:uiPriority w:val="99"/>
    <w:unhideWhenUsed/>
    <w:rsid w:val="00E90A8E"/>
    <w:pPr>
      <w:tabs>
        <w:tab w:val="center" w:pos="4153"/>
        <w:tab w:val="right" w:pos="8306"/>
      </w:tabs>
      <w:snapToGrid w:val="0"/>
      <w:ind w:firstLineChars="200" w:firstLine="200"/>
      <w:jc w:val="left"/>
    </w:pPr>
    <w:rPr>
      <w:rFonts w:ascii="仿宋_GB2312" w:eastAsia="仿宋_GB2312" w:hAnsi="仿宋_GB2312"/>
      <w:sz w:val="18"/>
      <w:szCs w:val="18"/>
    </w:rPr>
  </w:style>
  <w:style w:type="character" w:customStyle="1" w:styleId="a6">
    <w:name w:val="页脚 字符"/>
    <w:basedOn w:val="a0"/>
    <w:link w:val="a5"/>
    <w:uiPriority w:val="99"/>
    <w:rsid w:val="00E90A8E"/>
    <w:rPr>
      <w:rFonts w:ascii="仿宋_GB2312" w:eastAsia="仿宋_GB2312" w:hAnsi="仿宋_GB2312"/>
      <w:sz w:val="18"/>
      <w:szCs w:val="18"/>
    </w:rPr>
  </w:style>
  <w:style w:type="character" w:customStyle="1" w:styleId="style101">
    <w:name w:val="style101"/>
    <w:basedOn w:val="a0"/>
    <w:rsid w:val="008D2D20"/>
    <w:rPr>
      <w:sz w:val="20"/>
      <w:szCs w:val="20"/>
    </w:rPr>
  </w:style>
  <w:style w:type="character" w:styleId="a7">
    <w:name w:val="page number"/>
    <w:basedOn w:val="a0"/>
    <w:rsid w:val="007E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8277">
      <w:bodyDiv w:val="1"/>
      <w:marLeft w:val="0"/>
      <w:marRight w:val="0"/>
      <w:marTop w:val="0"/>
      <w:marBottom w:val="0"/>
      <w:divBdr>
        <w:top w:val="none" w:sz="0" w:space="0" w:color="auto"/>
        <w:left w:val="none" w:sz="0" w:space="0" w:color="auto"/>
        <w:bottom w:val="none" w:sz="0" w:space="0" w:color="auto"/>
        <w:right w:val="none" w:sz="0" w:space="0" w:color="auto"/>
      </w:divBdr>
    </w:div>
    <w:div w:id="1846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CD2D-9DA8-45C2-98B2-6DC4B4AA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2019-11-12T08:58:00Z</dcterms:created>
  <dc:creator>门辉华</dc:creator>
  <lastModifiedBy>XuZheng</lastModifiedBy>
  <dcterms:modified xsi:type="dcterms:W3CDTF">2019-11-12T08:58:00Z</dcterms:modified>
  <revision>2</revision>
</coreProperties>
</file>